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27C7" w14:textId="30ECC65B" w:rsidR="0018644A" w:rsidRDefault="00A01D6B" w:rsidP="0018644A">
      <w:pPr>
        <w:jc w:val="center"/>
        <w:rPr>
          <w:b/>
          <w:bCs/>
          <w:color w:val="002060"/>
          <w:sz w:val="28"/>
          <w:szCs w:val="28"/>
        </w:rPr>
      </w:pPr>
      <w:r>
        <w:rPr>
          <w:b/>
          <w:bCs/>
          <w:color w:val="002060"/>
          <w:sz w:val="28"/>
          <w:szCs w:val="28"/>
        </w:rPr>
        <w:t xml:space="preserve">The Piggott School </w:t>
      </w:r>
      <w:r w:rsidR="0018644A" w:rsidRPr="00DF28E4">
        <w:rPr>
          <w:b/>
          <w:bCs/>
          <w:color w:val="002060"/>
          <w:sz w:val="28"/>
          <w:szCs w:val="28"/>
        </w:rPr>
        <w:t xml:space="preserve">CAREERS REPORT </w:t>
      </w:r>
      <w:r>
        <w:rPr>
          <w:b/>
          <w:bCs/>
          <w:color w:val="002060"/>
          <w:sz w:val="28"/>
          <w:szCs w:val="28"/>
        </w:rPr>
        <w:t xml:space="preserve">Linked to the Gatsby Benchmarks </w:t>
      </w:r>
    </w:p>
    <w:p w14:paraId="0682650F" w14:textId="7CF99ABC" w:rsidR="00A01D6B" w:rsidRDefault="00A01D6B" w:rsidP="0018644A">
      <w:pPr>
        <w:jc w:val="center"/>
        <w:rPr>
          <w:b/>
          <w:bCs/>
          <w:color w:val="002060"/>
          <w:sz w:val="28"/>
          <w:szCs w:val="28"/>
        </w:rPr>
      </w:pPr>
      <w:r>
        <w:rPr>
          <w:b/>
          <w:bCs/>
          <w:color w:val="002060"/>
          <w:sz w:val="28"/>
          <w:szCs w:val="28"/>
        </w:rPr>
        <w:t>January 2023</w:t>
      </w:r>
    </w:p>
    <w:p w14:paraId="7816107C" w14:textId="49842138" w:rsidR="0018644A" w:rsidRPr="0057249F" w:rsidRDefault="0018644A" w:rsidP="0018644A"/>
    <w:p w14:paraId="0183622E" w14:textId="77777777" w:rsidR="0018644A" w:rsidRPr="00DF28E4" w:rsidRDefault="0018644A" w:rsidP="0018644A">
      <w:pPr>
        <w:rPr>
          <w:b/>
          <w:bCs/>
          <w:color w:val="002060"/>
          <w:sz w:val="24"/>
          <w:szCs w:val="24"/>
        </w:rPr>
      </w:pPr>
      <w:r w:rsidRPr="00DF28E4">
        <w:rPr>
          <w:b/>
          <w:bCs/>
          <w:color w:val="002060"/>
          <w:sz w:val="24"/>
          <w:szCs w:val="24"/>
        </w:rPr>
        <w:t>WHAT DO WE NEED TO DO?</w:t>
      </w:r>
    </w:p>
    <w:p w14:paraId="285A3F60" w14:textId="07E2DE11" w:rsidR="0018644A" w:rsidRDefault="0018644A" w:rsidP="0018644A">
      <w:r w:rsidRPr="005F4ADD">
        <w:t xml:space="preserve">Careers Education, Information, Advice and Guidance (CEIAG) </w:t>
      </w:r>
      <w:r>
        <w:t>provision in the school is measure</w:t>
      </w:r>
      <w:r w:rsidR="00B45AFD">
        <w:t>d</w:t>
      </w:r>
      <w:r>
        <w:t xml:space="preserve"> against the eight Gatsby </w:t>
      </w:r>
      <w:r w:rsidR="001D6140">
        <w:t>benchmarks</w:t>
      </w:r>
      <w:r w:rsidR="00B45AFD">
        <w:t xml:space="preserve"> to ensure outstanding careers provision for all our students. </w:t>
      </w:r>
    </w:p>
    <w:p w14:paraId="293E165A" w14:textId="77777777" w:rsidR="0018644A" w:rsidRDefault="0018644A" w:rsidP="0018644A"/>
    <w:tbl>
      <w:tblPr>
        <w:tblStyle w:val="TableGrid"/>
        <w:tblW w:w="0" w:type="auto"/>
        <w:jc w:val="center"/>
        <w:tblLook w:val="04A0" w:firstRow="1" w:lastRow="0" w:firstColumn="1" w:lastColumn="0" w:noHBand="0" w:noVBand="1"/>
      </w:tblPr>
      <w:tblGrid>
        <w:gridCol w:w="2653"/>
        <w:gridCol w:w="4898"/>
        <w:gridCol w:w="7009"/>
      </w:tblGrid>
      <w:tr w:rsidR="00830D35" w:rsidRPr="005D5259" w14:paraId="42E6522A" w14:textId="53BDC901" w:rsidTr="00464D06">
        <w:trPr>
          <w:jc w:val="center"/>
        </w:trPr>
        <w:tc>
          <w:tcPr>
            <w:tcW w:w="14560" w:type="dxa"/>
            <w:gridSpan w:val="3"/>
            <w:shd w:val="clear" w:color="auto" w:fill="BFBFBF" w:themeFill="background1" w:themeFillShade="BF"/>
            <w:vAlign w:val="center"/>
          </w:tcPr>
          <w:p w14:paraId="292E539F" w14:textId="77777777" w:rsidR="00830D35" w:rsidRDefault="00830D35" w:rsidP="00670E40">
            <w:pPr>
              <w:jc w:val="center"/>
              <w:rPr>
                <w:b/>
                <w:bCs/>
              </w:rPr>
            </w:pPr>
          </w:p>
          <w:p w14:paraId="714ABC52" w14:textId="77777777" w:rsidR="00830D35" w:rsidRPr="00D76A0F" w:rsidRDefault="00830D35" w:rsidP="00670E40">
            <w:pPr>
              <w:jc w:val="center"/>
              <w:rPr>
                <w:b/>
                <w:bCs/>
                <w:sz w:val="24"/>
                <w:szCs w:val="24"/>
              </w:rPr>
            </w:pPr>
            <w:r w:rsidRPr="00D76A0F">
              <w:rPr>
                <w:b/>
                <w:bCs/>
                <w:sz w:val="24"/>
                <w:szCs w:val="24"/>
              </w:rPr>
              <w:t xml:space="preserve">The </w:t>
            </w:r>
            <w:r>
              <w:rPr>
                <w:b/>
                <w:bCs/>
                <w:sz w:val="24"/>
                <w:szCs w:val="24"/>
              </w:rPr>
              <w:t>G</w:t>
            </w:r>
            <w:r w:rsidRPr="00D76A0F">
              <w:rPr>
                <w:b/>
                <w:bCs/>
                <w:sz w:val="24"/>
                <w:szCs w:val="24"/>
              </w:rPr>
              <w:t>atsby Benchmarks</w:t>
            </w:r>
          </w:p>
          <w:p w14:paraId="32D517C9" w14:textId="77777777" w:rsidR="00830D35" w:rsidRDefault="00830D35" w:rsidP="00670E40">
            <w:pPr>
              <w:jc w:val="center"/>
              <w:rPr>
                <w:b/>
                <w:bCs/>
              </w:rPr>
            </w:pPr>
          </w:p>
        </w:tc>
      </w:tr>
      <w:tr w:rsidR="00A01D6B" w:rsidRPr="005D5259" w14:paraId="43FE04C3" w14:textId="33FE4D7E" w:rsidTr="00A01D6B">
        <w:trPr>
          <w:jc w:val="center"/>
        </w:trPr>
        <w:tc>
          <w:tcPr>
            <w:tcW w:w="2653" w:type="dxa"/>
            <w:shd w:val="clear" w:color="auto" w:fill="D9D9D9" w:themeFill="background1" w:themeFillShade="D9"/>
            <w:vAlign w:val="center"/>
          </w:tcPr>
          <w:p w14:paraId="18EAF851" w14:textId="77777777" w:rsidR="00A01D6B" w:rsidRDefault="00A01D6B" w:rsidP="00670E40">
            <w:pPr>
              <w:jc w:val="center"/>
              <w:rPr>
                <w:b/>
                <w:bCs/>
              </w:rPr>
            </w:pPr>
          </w:p>
          <w:p w14:paraId="0944F3DA" w14:textId="77777777" w:rsidR="00A01D6B" w:rsidRDefault="00A01D6B" w:rsidP="00670E40">
            <w:pPr>
              <w:jc w:val="center"/>
              <w:rPr>
                <w:b/>
                <w:bCs/>
              </w:rPr>
            </w:pPr>
            <w:r w:rsidRPr="0032316C">
              <w:rPr>
                <w:b/>
                <w:bCs/>
              </w:rPr>
              <w:t>Benchmark</w:t>
            </w:r>
          </w:p>
          <w:p w14:paraId="354B9D0E" w14:textId="77777777" w:rsidR="00A01D6B" w:rsidRPr="0032316C" w:rsidRDefault="00A01D6B" w:rsidP="00670E40">
            <w:pPr>
              <w:jc w:val="center"/>
              <w:rPr>
                <w:b/>
                <w:bCs/>
              </w:rPr>
            </w:pPr>
          </w:p>
        </w:tc>
        <w:tc>
          <w:tcPr>
            <w:tcW w:w="4898" w:type="dxa"/>
            <w:shd w:val="clear" w:color="auto" w:fill="D9D9D9" w:themeFill="background1" w:themeFillShade="D9"/>
            <w:vAlign w:val="center"/>
          </w:tcPr>
          <w:p w14:paraId="30D4F808" w14:textId="77777777" w:rsidR="00A01D6B" w:rsidRDefault="00A01D6B" w:rsidP="00670E40">
            <w:pPr>
              <w:jc w:val="center"/>
              <w:rPr>
                <w:b/>
                <w:bCs/>
              </w:rPr>
            </w:pPr>
          </w:p>
          <w:p w14:paraId="753C0B7E" w14:textId="77777777" w:rsidR="00A01D6B" w:rsidRDefault="00A01D6B" w:rsidP="00670E40">
            <w:pPr>
              <w:jc w:val="center"/>
              <w:rPr>
                <w:b/>
                <w:bCs/>
              </w:rPr>
            </w:pPr>
            <w:r w:rsidRPr="005D5259">
              <w:rPr>
                <w:b/>
                <w:bCs/>
              </w:rPr>
              <w:t>Description</w:t>
            </w:r>
          </w:p>
          <w:p w14:paraId="1B91D0A5" w14:textId="77777777" w:rsidR="00A01D6B" w:rsidRPr="005D5259" w:rsidRDefault="00A01D6B" w:rsidP="00670E40">
            <w:pPr>
              <w:jc w:val="center"/>
              <w:rPr>
                <w:b/>
                <w:bCs/>
              </w:rPr>
            </w:pPr>
          </w:p>
        </w:tc>
        <w:tc>
          <w:tcPr>
            <w:tcW w:w="7009" w:type="dxa"/>
            <w:shd w:val="clear" w:color="auto" w:fill="D9D9D9" w:themeFill="background1" w:themeFillShade="D9"/>
          </w:tcPr>
          <w:p w14:paraId="1853275E" w14:textId="77777777" w:rsidR="00A01D6B" w:rsidRDefault="00A01D6B" w:rsidP="00670E40">
            <w:pPr>
              <w:jc w:val="center"/>
              <w:rPr>
                <w:b/>
                <w:bCs/>
              </w:rPr>
            </w:pPr>
          </w:p>
          <w:p w14:paraId="3DEF9B96" w14:textId="2D37EE7A" w:rsidR="00830D35" w:rsidRDefault="00830D35" w:rsidP="00670E40">
            <w:pPr>
              <w:jc w:val="center"/>
              <w:rPr>
                <w:b/>
                <w:bCs/>
              </w:rPr>
            </w:pPr>
            <w:r>
              <w:rPr>
                <w:b/>
                <w:bCs/>
              </w:rPr>
              <w:t>Assessment by School and Careers and Enterprise Company</w:t>
            </w:r>
          </w:p>
        </w:tc>
      </w:tr>
      <w:tr w:rsidR="00A01D6B" w14:paraId="3E867A90" w14:textId="2C30A7E7" w:rsidTr="00A01D6B">
        <w:trPr>
          <w:jc w:val="center"/>
        </w:trPr>
        <w:tc>
          <w:tcPr>
            <w:tcW w:w="2653" w:type="dxa"/>
            <w:shd w:val="clear" w:color="auto" w:fill="D9D9D9" w:themeFill="background1" w:themeFillShade="D9"/>
            <w:vAlign w:val="center"/>
          </w:tcPr>
          <w:p w14:paraId="030976DF" w14:textId="77777777" w:rsidR="00A01D6B" w:rsidRPr="0032316C" w:rsidRDefault="00A01D6B" w:rsidP="00670E40">
            <w:pPr>
              <w:jc w:val="center"/>
              <w:rPr>
                <w:b/>
                <w:bCs/>
              </w:rPr>
            </w:pPr>
            <w:r w:rsidRPr="0032316C">
              <w:rPr>
                <w:b/>
                <w:bCs/>
              </w:rPr>
              <w:t>1. A stable careers programme</w:t>
            </w:r>
          </w:p>
        </w:tc>
        <w:tc>
          <w:tcPr>
            <w:tcW w:w="4898" w:type="dxa"/>
          </w:tcPr>
          <w:p w14:paraId="1D220E2C" w14:textId="77777777" w:rsidR="00A01D6B" w:rsidRDefault="00A01D6B" w:rsidP="00670E40">
            <w:r>
              <w:t>Every school and college should have an embedded programme of career education and guidance that is known and understood by pupils, parents, teachers and employers.</w:t>
            </w:r>
          </w:p>
        </w:tc>
        <w:tc>
          <w:tcPr>
            <w:tcW w:w="7009" w:type="dxa"/>
          </w:tcPr>
          <w:p w14:paraId="60F0920D" w14:textId="77777777" w:rsidR="00B45AFD" w:rsidRDefault="00B45AFD" w:rsidP="00B45AFD">
            <w:r>
              <w:t>Benchmark: 100%</w:t>
            </w:r>
          </w:p>
          <w:p w14:paraId="14856701" w14:textId="1260579C" w:rsidR="00830D35" w:rsidRDefault="00830D35" w:rsidP="00830D35">
            <w:pPr>
              <w:pStyle w:val="ListParagraph"/>
              <w:numPr>
                <w:ilvl w:val="0"/>
                <w:numId w:val="24"/>
              </w:numPr>
            </w:pPr>
            <w:r>
              <w:t>Staffing: David Bibby – Careers Lead, Anna Giacomet – Careers Advice and Guidance, Emma Penson – More and Most Able at 6</w:t>
            </w:r>
            <w:r w:rsidRPr="00830D35">
              <w:rPr>
                <w:vertAlign w:val="superscript"/>
              </w:rPr>
              <w:t>th</w:t>
            </w:r>
            <w:r>
              <w:t xml:space="preserve"> form, Gary Hughes – Careers Governor, </w:t>
            </w:r>
            <w:proofErr w:type="spellStart"/>
            <w:r>
              <w:t>Adviza</w:t>
            </w:r>
            <w:proofErr w:type="spellEnd"/>
            <w:r>
              <w:t xml:space="preserve"> – 1:1 Student Advice.</w:t>
            </w:r>
          </w:p>
          <w:p w14:paraId="150DB4B2" w14:textId="4473BA32" w:rsidR="00830D35" w:rsidRDefault="00830D35" w:rsidP="00830D35">
            <w:pPr>
              <w:pStyle w:val="ListParagraph"/>
              <w:numPr>
                <w:ilvl w:val="0"/>
                <w:numId w:val="24"/>
              </w:numPr>
            </w:pPr>
            <w:r>
              <w:t>Careers Programme is interlinked Pastoral Programme of, Assemblies</w:t>
            </w:r>
            <w:r w:rsidR="005B6419">
              <w:t xml:space="preserve"> and </w:t>
            </w:r>
            <w:bookmarkStart w:id="0" w:name="_GoBack"/>
            <w:bookmarkEnd w:id="0"/>
            <w:r>
              <w:t>Tutor Time enabling students to make informed decisions</w:t>
            </w:r>
          </w:p>
          <w:p w14:paraId="05E441C5" w14:textId="665158D7" w:rsidR="00830D35" w:rsidRDefault="00830D35" w:rsidP="00830D35">
            <w:pPr>
              <w:pStyle w:val="ListParagraph"/>
              <w:numPr>
                <w:ilvl w:val="0"/>
                <w:numId w:val="24"/>
              </w:numPr>
            </w:pPr>
            <w:r>
              <w:t>Careers Programme is</w:t>
            </w:r>
            <w:r w:rsidR="00B45AFD">
              <w:t xml:space="preserve"> known to Students, Staff, Parents, Governors and local employers. Through school website: </w:t>
            </w:r>
            <w:hyperlink r:id="rId7" w:history="1">
              <w:r w:rsidR="00B45AFD">
                <w:rPr>
                  <w:rStyle w:val="Hyperlink"/>
                </w:rPr>
                <w:t>The Piggott School - Careers (CEIAG)</w:t>
              </w:r>
            </w:hyperlink>
            <w:r w:rsidR="00B45AFD">
              <w:t xml:space="preserve"> and activities such as, assemblies, workshops and PSHE lessons.</w:t>
            </w:r>
          </w:p>
          <w:p w14:paraId="59CA248B" w14:textId="5C0E944F" w:rsidR="00B45AFD" w:rsidRDefault="00B45AFD" w:rsidP="00830D35">
            <w:pPr>
              <w:pStyle w:val="ListParagraph"/>
              <w:numPr>
                <w:ilvl w:val="0"/>
                <w:numId w:val="24"/>
              </w:numPr>
            </w:pPr>
            <w:r>
              <w:t>‘Careers and the student’s Piggott School journey’</w:t>
            </w:r>
            <w:r>
              <w:t xml:space="preserve"> outlines learning journey linked to careers and other co-curricular opportunities at the school. </w:t>
            </w:r>
          </w:p>
          <w:p w14:paraId="61A61DA9" w14:textId="3D44D3FD" w:rsidR="00830D35" w:rsidRDefault="00830D35" w:rsidP="00670E40"/>
        </w:tc>
      </w:tr>
      <w:tr w:rsidR="00A01D6B" w14:paraId="57FE5D0C" w14:textId="3CCCC6F1" w:rsidTr="00A01D6B">
        <w:trPr>
          <w:jc w:val="center"/>
        </w:trPr>
        <w:tc>
          <w:tcPr>
            <w:tcW w:w="2653" w:type="dxa"/>
            <w:shd w:val="clear" w:color="auto" w:fill="D9D9D9" w:themeFill="background1" w:themeFillShade="D9"/>
            <w:vAlign w:val="center"/>
          </w:tcPr>
          <w:p w14:paraId="4818C938" w14:textId="77777777" w:rsidR="00A01D6B" w:rsidRPr="0032316C" w:rsidRDefault="00A01D6B" w:rsidP="00670E40">
            <w:pPr>
              <w:jc w:val="center"/>
              <w:rPr>
                <w:b/>
                <w:bCs/>
              </w:rPr>
            </w:pPr>
            <w:r w:rsidRPr="0032316C">
              <w:rPr>
                <w:b/>
                <w:bCs/>
              </w:rPr>
              <w:t>2. Learning from career and labour market information</w:t>
            </w:r>
          </w:p>
          <w:p w14:paraId="79EC3A30" w14:textId="77777777" w:rsidR="00A01D6B" w:rsidRPr="0032316C" w:rsidRDefault="00A01D6B" w:rsidP="00670E40">
            <w:pPr>
              <w:jc w:val="center"/>
              <w:rPr>
                <w:b/>
                <w:bCs/>
              </w:rPr>
            </w:pPr>
          </w:p>
        </w:tc>
        <w:tc>
          <w:tcPr>
            <w:tcW w:w="4898" w:type="dxa"/>
          </w:tcPr>
          <w:p w14:paraId="76814343" w14:textId="77777777" w:rsidR="00A01D6B" w:rsidRDefault="00A01D6B" w:rsidP="00670E40">
            <w:r>
              <w:t>Every pupil, and their parents, should have access to good-quality information about future study options and labour market opportunities. They will need the support of an informed adviser to make best use of available information.</w:t>
            </w:r>
          </w:p>
        </w:tc>
        <w:tc>
          <w:tcPr>
            <w:tcW w:w="7009" w:type="dxa"/>
          </w:tcPr>
          <w:p w14:paraId="081FD73D" w14:textId="77777777" w:rsidR="00B45AFD" w:rsidRDefault="00B45AFD" w:rsidP="00B45AFD">
            <w:r>
              <w:t>Benchmark: 100%</w:t>
            </w:r>
          </w:p>
          <w:p w14:paraId="18ADD6CD" w14:textId="77777777" w:rsidR="00A01D6B" w:rsidRDefault="00B45AFD" w:rsidP="00B45AFD">
            <w:pPr>
              <w:pStyle w:val="ListParagraph"/>
              <w:numPr>
                <w:ilvl w:val="0"/>
                <w:numId w:val="25"/>
              </w:numPr>
            </w:pPr>
            <w:r>
              <w:t>C</w:t>
            </w:r>
            <w:r>
              <w:t>areers bulletin updated every fortnight. This is an important resource for students as “</w:t>
            </w:r>
            <w:r w:rsidRPr="00FF5097">
              <w:rPr>
                <w:i/>
                <w:iCs/>
              </w:rPr>
              <w:t>it acts as a chronicle of opportunities offered</w:t>
            </w:r>
            <w:r>
              <w:rPr>
                <w:i/>
                <w:iCs/>
              </w:rPr>
              <w:t>”</w:t>
            </w:r>
            <w:r w:rsidRPr="00FF5097">
              <w:rPr>
                <w:i/>
                <w:iCs/>
              </w:rPr>
              <w:t>.</w:t>
            </w:r>
            <w:r>
              <w:rPr>
                <w:i/>
                <w:iCs/>
              </w:rPr>
              <w:t xml:space="preserve"> </w:t>
            </w:r>
            <w:hyperlink r:id="rId8" w:history="1">
              <w:r>
                <w:rPr>
                  <w:rStyle w:val="Hyperlink"/>
                </w:rPr>
                <w:t>The Piggott School - Careers Bulletin</w:t>
              </w:r>
            </w:hyperlink>
          </w:p>
          <w:p w14:paraId="38721C18" w14:textId="77777777" w:rsidR="00B45AFD" w:rsidRDefault="00B45AFD" w:rsidP="00B45AFD">
            <w:pPr>
              <w:pStyle w:val="ListParagraph"/>
              <w:numPr>
                <w:ilvl w:val="0"/>
                <w:numId w:val="25"/>
              </w:numPr>
            </w:pPr>
            <w:r>
              <w:lastRenderedPageBreak/>
              <w:t xml:space="preserve">Local Labour Market Information for Berkshire found on Website to enable students to better understand employment and training opportunities in the local area. </w:t>
            </w:r>
            <w:hyperlink r:id="rId9" w:history="1">
              <w:r>
                <w:rPr>
                  <w:rStyle w:val="Hyperlink"/>
                </w:rPr>
                <w:t>The Piggott School - Local Labour Market Information</w:t>
              </w:r>
            </w:hyperlink>
          </w:p>
          <w:p w14:paraId="51BDE47A" w14:textId="77777777" w:rsidR="00B45AFD" w:rsidRDefault="00B45AFD" w:rsidP="00B45AFD">
            <w:pPr>
              <w:pStyle w:val="ListParagraph"/>
              <w:numPr>
                <w:ilvl w:val="0"/>
                <w:numId w:val="25"/>
              </w:numPr>
            </w:pPr>
            <w:r>
              <w:t>Careers Team to regularly attend Careers Meetings organised by Thames Valley Business Hub and Wokingham Federation to ensure the most up to date relevant information is disseminated to students.</w:t>
            </w:r>
          </w:p>
          <w:p w14:paraId="39D36AA7" w14:textId="795BAB15" w:rsidR="00E62CBD" w:rsidRDefault="00E62CBD" w:rsidP="00B45AFD">
            <w:pPr>
              <w:pStyle w:val="ListParagraph"/>
              <w:numPr>
                <w:ilvl w:val="0"/>
                <w:numId w:val="25"/>
              </w:numPr>
            </w:pPr>
            <w:r>
              <w:t>Organising Activities linked to National Apprenticeship Week for all year groups.</w:t>
            </w:r>
          </w:p>
          <w:p w14:paraId="16F8F0A2" w14:textId="0B6585E1" w:rsidR="00E62CBD" w:rsidRDefault="00E62CBD" w:rsidP="00B45AFD">
            <w:pPr>
              <w:pStyle w:val="ListParagraph"/>
              <w:numPr>
                <w:ilvl w:val="0"/>
                <w:numId w:val="25"/>
              </w:numPr>
            </w:pPr>
            <w:r>
              <w:t xml:space="preserve">Ensuring Peer Mentors are able to direct all students to appropriate careers information. </w:t>
            </w:r>
          </w:p>
        </w:tc>
      </w:tr>
      <w:tr w:rsidR="00A01D6B" w14:paraId="44BAB43E" w14:textId="67342B99" w:rsidTr="00A01D6B">
        <w:trPr>
          <w:jc w:val="center"/>
        </w:trPr>
        <w:tc>
          <w:tcPr>
            <w:tcW w:w="2653" w:type="dxa"/>
            <w:shd w:val="clear" w:color="auto" w:fill="D9D9D9" w:themeFill="background1" w:themeFillShade="D9"/>
            <w:vAlign w:val="center"/>
          </w:tcPr>
          <w:p w14:paraId="54446B00" w14:textId="77777777" w:rsidR="00A01D6B" w:rsidRPr="0032316C" w:rsidRDefault="00A01D6B" w:rsidP="00670E40">
            <w:pPr>
              <w:jc w:val="center"/>
              <w:rPr>
                <w:b/>
                <w:bCs/>
              </w:rPr>
            </w:pPr>
            <w:r w:rsidRPr="0032316C">
              <w:rPr>
                <w:b/>
                <w:bCs/>
              </w:rPr>
              <w:lastRenderedPageBreak/>
              <w:t>3. Addressing the needs of each pupil</w:t>
            </w:r>
          </w:p>
          <w:p w14:paraId="5FC9D071" w14:textId="77777777" w:rsidR="00A01D6B" w:rsidRPr="0032316C" w:rsidRDefault="00A01D6B" w:rsidP="00670E40">
            <w:pPr>
              <w:jc w:val="center"/>
              <w:rPr>
                <w:b/>
                <w:bCs/>
              </w:rPr>
            </w:pPr>
          </w:p>
        </w:tc>
        <w:tc>
          <w:tcPr>
            <w:tcW w:w="4898" w:type="dxa"/>
          </w:tcPr>
          <w:p w14:paraId="5C4E590A" w14:textId="77777777" w:rsidR="00A01D6B" w:rsidRDefault="00A01D6B" w:rsidP="00670E40">
            <w:r>
              <w:t>Pupils have different career guidance needs at different stages. Opportunities for advice and support need to be tailored to the needs of each pupil. A school’s careers programme should embed equality and diversity considerations throughout.</w:t>
            </w:r>
          </w:p>
        </w:tc>
        <w:tc>
          <w:tcPr>
            <w:tcW w:w="7009" w:type="dxa"/>
          </w:tcPr>
          <w:p w14:paraId="2E29FCFD" w14:textId="71653860" w:rsidR="00C20A3C" w:rsidRDefault="00C20A3C" w:rsidP="00C20A3C">
            <w:r>
              <w:t>Benchmark: 100%</w:t>
            </w:r>
          </w:p>
          <w:p w14:paraId="2CDD54E7" w14:textId="76B8FFEA" w:rsidR="007A0FF6" w:rsidRPr="00B2526B" w:rsidRDefault="007A0FF6" w:rsidP="007A0FF6">
            <w:pPr>
              <w:pStyle w:val="ListParagraph"/>
              <w:numPr>
                <w:ilvl w:val="0"/>
                <w:numId w:val="18"/>
              </w:numPr>
            </w:pPr>
            <w:r w:rsidRPr="00B2526B">
              <w:t xml:space="preserve">Year 7 – </w:t>
            </w:r>
            <w:r w:rsidR="00C20A3C">
              <w:t>Year group and class sessions</w:t>
            </w:r>
          </w:p>
          <w:p w14:paraId="420EF098" w14:textId="10821B8E" w:rsidR="007A0FF6" w:rsidRPr="00B2526B" w:rsidRDefault="007A0FF6" w:rsidP="007A0FF6">
            <w:pPr>
              <w:pStyle w:val="ListParagraph"/>
              <w:numPr>
                <w:ilvl w:val="0"/>
                <w:numId w:val="18"/>
              </w:numPr>
            </w:pPr>
            <w:r w:rsidRPr="00B2526B">
              <w:t>Year 8 – 100% coverage</w:t>
            </w:r>
            <w:r w:rsidR="00C20A3C">
              <w:t xml:space="preserve">, all students have 1:1 advice linked to options process </w:t>
            </w:r>
          </w:p>
          <w:p w14:paraId="5230C66B" w14:textId="2CA7F627" w:rsidR="007A0FF6" w:rsidRPr="00B2526B" w:rsidRDefault="007A0FF6" w:rsidP="007A0FF6">
            <w:pPr>
              <w:pStyle w:val="ListParagraph"/>
              <w:numPr>
                <w:ilvl w:val="0"/>
                <w:numId w:val="18"/>
              </w:numPr>
            </w:pPr>
            <w:r w:rsidRPr="00B2526B">
              <w:t xml:space="preserve">Year 9 – </w:t>
            </w:r>
            <w:r w:rsidR="00C20A3C">
              <w:t>Year group and class sessions</w:t>
            </w:r>
          </w:p>
          <w:p w14:paraId="3438D07D" w14:textId="40020C56" w:rsidR="007A0FF6" w:rsidRPr="00B2526B" w:rsidRDefault="007A0FF6" w:rsidP="007A0FF6">
            <w:pPr>
              <w:pStyle w:val="ListParagraph"/>
              <w:numPr>
                <w:ilvl w:val="0"/>
                <w:numId w:val="18"/>
              </w:numPr>
            </w:pPr>
            <w:r w:rsidRPr="00B2526B">
              <w:t xml:space="preserve">Year 10 – </w:t>
            </w:r>
            <w:proofErr w:type="spellStart"/>
            <w:r w:rsidRPr="00B2526B">
              <w:t>Adviza</w:t>
            </w:r>
            <w:proofErr w:type="spellEnd"/>
            <w:r w:rsidRPr="00B2526B">
              <w:t xml:space="preserve"> work</w:t>
            </w:r>
            <w:r w:rsidR="00D55E5B">
              <w:t xml:space="preserve"> 1:1</w:t>
            </w:r>
            <w:r w:rsidRPr="00B2526B">
              <w:t xml:space="preserve"> with the highest priority</w:t>
            </w:r>
            <w:r w:rsidR="00C20A3C">
              <w:t xml:space="preserve">. Activities Day linked to careers and post 16 options. </w:t>
            </w:r>
          </w:p>
          <w:p w14:paraId="02A3082E" w14:textId="0B182376" w:rsidR="007A0FF6" w:rsidRPr="00B2526B" w:rsidRDefault="007A0FF6" w:rsidP="007A0FF6">
            <w:pPr>
              <w:pStyle w:val="ListParagraph"/>
              <w:numPr>
                <w:ilvl w:val="0"/>
                <w:numId w:val="18"/>
              </w:numPr>
            </w:pPr>
            <w:r w:rsidRPr="00B2526B">
              <w:t xml:space="preserve">Year 11 – </w:t>
            </w:r>
            <w:r w:rsidR="00C20A3C">
              <w:t xml:space="preserve">100% of students seen by </w:t>
            </w:r>
            <w:proofErr w:type="spellStart"/>
            <w:r w:rsidR="00C20A3C">
              <w:t>Adviza</w:t>
            </w:r>
            <w:proofErr w:type="spellEnd"/>
            <w:r w:rsidR="00C20A3C">
              <w:t xml:space="preserve"> </w:t>
            </w:r>
            <w:r w:rsidR="00D55E5B">
              <w:t xml:space="preserve">in 1:1 </w:t>
            </w:r>
            <w:proofErr w:type="gramStart"/>
            <w:r w:rsidR="00D55E5B">
              <w:t>sessions</w:t>
            </w:r>
            <w:proofErr w:type="gramEnd"/>
            <w:r w:rsidR="00D55E5B">
              <w:t>.</w:t>
            </w:r>
          </w:p>
          <w:p w14:paraId="437D8C1A" w14:textId="6FA0E904" w:rsidR="007A0FF6" w:rsidRPr="00B2526B" w:rsidRDefault="007A0FF6" w:rsidP="00C20A3C">
            <w:pPr>
              <w:pStyle w:val="ListParagraph"/>
              <w:numPr>
                <w:ilvl w:val="0"/>
                <w:numId w:val="18"/>
              </w:numPr>
            </w:pPr>
            <w:r w:rsidRPr="00B2526B">
              <w:t xml:space="preserve">Year 12 – </w:t>
            </w:r>
            <w:r w:rsidR="00C20A3C">
              <w:t xml:space="preserve">100% of students seen by </w:t>
            </w:r>
            <w:proofErr w:type="spellStart"/>
            <w:r w:rsidR="00C20A3C">
              <w:t>Adviza</w:t>
            </w:r>
            <w:proofErr w:type="spellEnd"/>
            <w:r w:rsidR="00D55E5B">
              <w:t xml:space="preserve"> </w:t>
            </w:r>
            <w:r w:rsidR="00D55E5B">
              <w:t xml:space="preserve">in 1:1 </w:t>
            </w:r>
            <w:proofErr w:type="gramStart"/>
            <w:r w:rsidR="00D55E5B">
              <w:t>sessions</w:t>
            </w:r>
            <w:proofErr w:type="gramEnd"/>
            <w:r w:rsidR="00D55E5B">
              <w:t>.</w:t>
            </w:r>
            <w:r w:rsidR="00D55E5B">
              <w:t xml:space="preserve"> </w:t>
            </w:r>
            <w:r w:rsidR="00C20A3C">
              <w:t>Activities Day linked to careers and post 1</w:t>
            </w:r>
            <w:r w:rsidR="00C20A3C">
              <w:t>8</w:t>
            </w:r>
            <w:r w:rsidR="00C20A3C">
              <w:t xml:space="preserve"> options. </w:t>
            </w:r>
          </w:p>
          <w:p w14:paraId="42748E8D" w14:textId="29A017E2" w:rsidR="007A0FF6" w:rsidRDefault="007A0FF6" w:rsidP="007A0FF6">
            <w:pPr>
              <w:pStyle w:val="ListParagraph"/>
              <w:numPr>
                <w:ilvl w:val="0"/>
                <w:numId w:val="18"/>
              </w:numPr>
            </w:pPr>
            <w:r w:rsidRPr="00B2526B">
              <w:t xml:space="preserve">Year 13 – </w:t>
            </w:r>
            <w:r w:rsidR="00C20A3C">
              <w:t xml:space="preserve">100% of students seen by </w:t>
            </w:r>
            <w:proofErr w:type="spellStart"/>
            <w:r w:rsidR="00C20A3C">
              <w:t>Adviza</w:t>
            </w:r>
            <w:proofErr w:type="spellEnd"/>
            <w:r w:rsidR="00921CBF">
              <w:t xml:space="preserve"> in 1:1 </w:t>
            </w:r>
            <w:proofErr w:type="gramStart"/>
            <w:r w:rsidR="00921CBF">
              <w:t>sessions</w:t>
            </w:r>
            <w:proofErr w:type="gramEnd"/>
            <w:r w:rsidR="00921CBF">
              <w:t>.</w:t>
            </w:r>
          </w:p>
          <w:p w14:paraId="7DC10E5E" w14:textId="77B0E237" w:rsidR="00D55E5B" w:rsidRPr="00B2526B" w:rsidRDefault="00D55E5B" w:rsidP="007A0FF6">
            <w:pPr>
              <w:pStyle w:val="ListParagraph"/>
              <w:numPr>
                <w:ilvl w:val="0"/>
                <w:numId w:val="18"/>
              </w:numPr>
            </w:pPr>
            <w:r>
              <w:t xml:space="preserve">Ensure vulnerable groups of students at all </w:t>
            </w:r>
            <w:proofErr w:type="spellStart"/>
            <w:r>
              <w:t>keystages</w:t>
            </w:r>
            <w:proofErr w:type="spellEnd"/>
            <w:r>
              <w:t xml:space="preserve"> have 1:1 support. Such as SEND, PP, LAC, PLAC.</w:t>
            </w:r>
          </w:p>
          <w:p w14:paraId="577987FD" w14:textId="77777777" w:rsidR="00A01D6B" w:rsidRDefault="00A01D6B" w:rsidP="00670E40"/>
        </w:tc>
      </w:tr>
      <w:tr w:rsidR="00A01D6B" w14:paraId="3AF035E5" w14:textId="6C62D4F7" w:rsidTr="00A01D6B">
        <w:trPr>
          <w:jc w:val="center"/>
        </w:trPr>
        <w:tc>
          <w:tcPr>
            <w:tcW w:w="2653" w:type="dxa"/>
            <w:shd w:val="clear" w:color="auto" w:fill="D9D9D9" w:themeFill="background1" w:themeFillShade="D9"/>
            <w:vAlign w:val="center"/>
          </w:tcPr>
          <w:p w14:paraId="49A17FAC" w14:textId="77777777" w:rsidR="00A01D6B" w:rsidRPr="0032316C" w:rsidRDefault="00A01D6B" w:rsidP="00670E40">
            <w:pPr>
              <w:jc w:val="center"/>
              <w:rPr>
                <w:b/>
                <w:bCs/>
              </w:rPr>
            </w:pPr>
            <w:r w:rsidRPr="0032316C">
              <w:rPr>
                <w:b/>
                <w:bCs/>
              </w:rPr>
              <w:t>4. Linking curriculum learning to careers</w:t>
            </w:r>
          </w:p>
          <w:p w14:paraId="53ABB875" w14:textId="77777777" w:rsidR="00A01D6B" w:rsidRPr="0032316C" w:rsidRDefault="00A01D6B" w:rsidP="00670E40">
            <w:pPr>
              <w:jc w:val="center"/>
              <w:rPr>
                <w:b/>
                <w:bCs/>
              </w:rPr>
            </w:pPr>
          </w:p>
        </w:tc>
        <w:tc>
          <w:tcPr>
            <w:tcW w:w="4898" w:type="dxa"/>
          </w:tcPr>
          <w:p w14:paraId="7DD04B93" w14:textId="77777777" w:rsidR="00A01D6B" w:rsidRDefault="00A01D6B" w:rsidP="00670E40">
            <w:r>
              <w:t>All teachers should link curriculum learning with careers. For example, STEM subject teachers should highlight the relevance of STEM subjects for a wide range of future career paths.</w:t>
            </w:r>
          </w:p>
        </w:tc>
        <w:tc>
          <w:tcPr>
            <w:tcW w:w="7009" w:type="dxa"/>
          </w:tcPr>
          <w:p w14:paraId="19D95C94" w14:textId="04210184" w:rsidR="00C6108B" w:rsidRDefault="00C6108B" w:rsidP="00C6108B">
            <w:r>
              <w:t>Benchmark: 100%</w:t>
            </w:r>
          </w:p>
          <w:p w14:paraId="30F90279" w14:textId="5DBF958E" w:rsidR="00A01D6B" w:rsidRDefault="00C6108B" w:rsidP="00C6108B">
            <w:pPr>
              <w:pStyle w:val="ListParagraph"/>
              <w:numPr>
                <w:ilvl w:val="0"/>
                <w:numId w:val="26"/>
              </w:numPr>
            </w:pPr>
            <w:r w:rsidRPr="00495418">
              <w:t>Careers is linked to the whole school journey</w:t>
            </w:r>
            <w:r>
              <w:t xml:space="preserve"> as seen on the Careers Learning Journey.</w:t>
            </w:r>
          </w:p>
          <w:p w14:paraId="7C5AB8E4" w14:textId="77777777" w:rsidR="00C6108B" w:rsidRDefault="00C6108B" w:rsidP="00C6108B">
            <w:pPr>
              <w:pStyle w:val="ListParagraph"/>
              <w:numPr>
                <w:ilvl w:val="0"/>
                <w:numId w:val="26"/>
              </w:numPr>
            </w:pPr>
            <w:r>
              <w:t xml:space="preserve">Subjects support careers provision through their lessons and enrichment activities. Including signposting STEM related opportunities, positive role models and where can this subject take you? </w:t>
            </w:r>
          </w:p>
          <w:p w14:paraId="269102B1" w14:textId="15FBEA5D" w:rsidR="00C76825" w:rsidRDefault="00C76825" w:rsidP="00C76825"/>
        </w:tc>
      </w:tr>
      <w:tr w:rsidR="00A01D6B" w14:paraId="4DAAB4F4" w14:textId="2420F6A0" w:rsidTr="00A01D6B">
        <w:trPr>
          <w:jc w:val="center"/>
        </w:trPr>
        <w:tc>
          <w:tcPr>
            <w:tcW w:w="2653" w:type="dxa"/>
            <w:shd w:val="clear" w:color="auto" w:fill="D9D9D9" w:themeFill="background1" w:themeFillShade="D9"/>
            <w:vAlign w:val="center"/>
          </w:tcPr>
          <w:p w14:paraId="2C5076D2" w14:textId="77777777" w:rsidR="00A01D6B" w:rsidRPr="0032316C" w:rsidRDefault="00A01D6B" w:rsidP="00670E40">
            <w:pPr>
              <w:jc w:val="center"/>
              <w:rPr>
                <w:b/>
                <w:bCs/>
              </w:rPr>
            </w:pPr>
            <w:r w:rsidRPr="0032316C">
              <w:rPr>
                <w:b/>
                <w:bCs/>
              </w:rPr>
              <w:lastRenderedPageBreak/>
              <w:t>5. Encounters with employers and employees</w:t>
            </w:r>
          </w:p>
          <w:p w14:paraId="25EB2DF5" w14:textId="77777777" w:rsidR="00A01D6B" w:rsidRPr="0032316C" w:rsidRDefault="00A01D6B" w:rsidP="00670E40">
            <w:pPr>
              <w:jc w:val="center"/>
              <w:rPr>
                <w:b/>
                <w:bCs/>
              </w:rPr>
            </w:pPr>
          </w:p>
        </w:tc>
        <w:tc>
          <w:tcPr>
            <w:tcW w:w="4898" w:type="dxa"/>
          </w:tcPr>
          <w:p w14:paraId="4A4ED769" w14:textId="77777777" w:rsidR="00A01D6B" w:rsidRDefault="00A01D6B" w:rsidP="00670E40">
            <w:r>
              <w:t>Every pupil should have multiple opportunities to learn from employers about work, employment and the skills that are valued in the workplace. This can be through a range of enrichment activities including visiting speakers, mentoring and enterprise schemes.</w:t>
            </w:r>
          </w:p>
        </w:tc>
        <w:tc>
          <w:tcPr>
            <w:tcW w:w="7009" w:type="dxa"/>
          </w:tcPr>
          <w:p w14:paraId="6FE471A2" w14:textId="77777777" w:rsidR="00C76825" w:rsidRDefault="00C76825" w:rsidP="00C76825">
            <w:r>
              <w:t>Benchmark: 100%</w:t>
            </w:r>
          </w:p>
          <w:p w14:paraId="6A748982" w14:textId="77777777" w:rsidR="00A01D6B" w:rsidRDefault="00C76825" w:rsidP="00C76825">
            <w:pPr>
              <w:pStyle w:val="ListParagraph"/>
              <w:numPr>
                <w:ilvl w:val="0"/>
                <w:numId w:val="27"/>
              </w:numPr>
            </w:pPr>
            <w:r>
              <w:t>KS4 and KS5 have encounters with both</w:t>
            </w:r>
            <w:r>
              <w:t xml:space="preserve"> academic and vocational </w:t>
            </w:r>
            <w:r>
              <w:t xml:space="preserve">employers and employees, through Activities Days. </w:t>
            </w:r>
          </w:p>
          <w:p w14:paraId="347E0F87" w14:textId="77777777" w:rsidR="00C76825" w:rsidRDefault="00C76825" w:rsidP="00C76825">
            <w:pPr>
              <w:pStyle w:val="ListParagraph"/>
              <w:numPr>
                <w:ilvl w:val="0"/>
                <w:numId w:val="27"/>
              </w:numPr>
            </w:pPr>
            <w:r>
              <w:t xml:space="preserve">Co-curricular school visits, such as Sky Academy in KS3 and CERN in KA5. </w:t>
            </w:r>
          </w:p>
          <w:p w14:paraId="71DE2966" w14:textId="77777777" w:rsidR="00DE50DA" w:rsidRDefault="00DE50DA" w:rsidP="00C76825">
            <w:pPr>
              <w:pStyle w:val="ListParagraph"/>
              <w:numPr>
                <w:ilvl w:val="0"/>
                <w:numId w:val="27"/>
              </w:numPr>
            </w:pPr>
            <w:r>
              <w:t>Networking with local Careers and Enterprise Company and employers to facilitate workplace opportunities.</w:t>
            </w:r>
          </w:p>
          <w:p w14:paraId="0CA1E4D9" w14:textId="77777777" w:rsidR="00DE50DA" w:rsidRDefault="00DE50DA" w:rsidP="00C76825">
            <w:pPr>
              <w:pStyle w:val="ListParagraph"/>
              <w:numPr>
                <w:ilvl w:val="0"/>
                <w:numId w:val="27"/>
              </w:numPr>
            </w:pPr>
            <w:r>
              <w:t xml:space="preserve">Record encounters on Compass + for all students and audit regularly to ensure all students have had 6 points of contact with the vocational sector from Years 7 -13. </w:t>
            </w:r>
          </w:p>
          <w:p w14:paraId="51762055" w14:textId="77777777" w:rsidR="00DE50DA" w:rsidRDefault="00DE50DA" w:rsidP="00C76825">
            <w:pPr>
              <w:pStyle w:val="ListParagraph"/>
              <w:numPr>
                <w:ilvl w:val="0"/>
                <w:numId w:val="27"/>
              </w:numPr>
            </w:pPr>
            <w:r>
              <w:t xml:space="preserve">Signpost students to external careers events such as </w:t>
            </w:r>
            <w:r w:rsidR="0076665E">
              <w:t xml:space="preserve">Reading Boys Careers convention. Investigate a Piggott Careers fair for Spring 2024. </w:t>
            </w:r>
          </w:p>
          <w:p w14:paraId="1FA2260D" w14:textId="74AF6376" w:rsidR="00536559" w:rsidRDefault="00536559" w:rsidP="00C76825">
            <w:pPr>
              <w:pStyle w:val="ListParagraph"/>
              <w:numPr>
                <w:ilvl w:val="0"/>
                <w:numId w:val="27"/>
              </w:numPr>
            </w:pPr>
            <w:r>
              <w:t xml:space="preserve">Building an alumni network. </w:t>
            </w:r>
            <w:hyperlink r:id="rId10" w:history="1">
              <w:r>
                <w:rPr>
                  <w:rStyle w:val="Hyperlink"/>
                </w:rPr>
                <w:t>The Piggott School - Where are they now?</w:t>
              </w:r>
            </w:hyperlink>
          </w:p>
        </w:tc>
      </w:tr>
      <w:tr w:rsidR="00A01D6B" w14:paraId="52B0C6FD" w14:textId="2A9A96F7" w:rsidTr="00A01D6B">
        <w:trPr>
          <w:jc w:val="center"/>
        </w:trPr>
        <w:tc>
          <w:tcPr>
            <w:tcW w:w="2653" w:type="dxa"/>
            <w:shd w:val="clear" w:color="auto" w:fill="D9D9D9" w:themeFill="background1" w:themeFillShade="D9"/>
            <w:vAlign w:val="center"/>
          </w:tcPr>
          <w:p w14:paraId="28ECDE5E" w14:textId="77777777" w:rsidR="00A01D6B" w:rsidRPr="0032316C" w:rsidRDefault="00A01D6B" w:rsidP="00670E40">
            <w:pPr>
              <w:jc w:val="center"/>
              <w:rPr>
                <w:b/>
                <w:bCs/>
              </w:rPr>
            </w:pPr>
            <w:r w:rsidRPr="0032316C">
              <w:rPr>
                <w:b/>
                <w:bCs/>
              </w:rPr>
              <w:t>6. Experiences of workplaces</w:t>
            </w:r>
          </w:p>
          <w:p w14:paraId="221B7AF1" w14:textId="77777777" w:rsidR="00A01D6B" w:rsidRPr="0032316C" w:rsidRDefault="00A01D6B" w:rsidP="00670E40">
            <w:pPr>
              <w:jc w:val="center"/>
              <w:rPr>
                <w:b/>
                <w:bCs/>
              </w:rPr>
            </w:pPr>
          </w:p>
        </w:tc>
        <w:tc>
          <w:tcPr>
            <w:tcW w:w="4898" w:type="dxa"/>
          </w:tcPr>
          <w:p w14:paraId="13482B46" w14:textId="77777777" w:rsidR="00A01D6B" w:rsidRDefault="00A01D6B" w:rsidP="00670E40">
            <w:r>
              <w:t>Every pupil should have first-hand experiences* of the workplace through work visits, work shadowing and/or work experience to help their exploration of career opportunities and expand their networks.</w:t>
            </w:r>
          </w:p>
        </w:tc>
        <w:tc>
          <w:tcPr>
            <w:tcW w:w="7009" w:type="dxa"/>
          </w:tcPr>
          <w:p w14:paraId="5A3A15BC" w14:textId="77777777" w:rsidR="00A01D6B" w:rsidRDefault="00501E1D" w:rsidP="00670E40">
            <w:r>
              <w:t>Benchmark: 37%</w:t>
            </w:r>
          </w:p>
          <w:p w14:paraId="5A94F007" w14:textId="77777777" w:rsidR="00501E1D" w:rsidRDefault="00501E1D" w:rsidP="00501E1D">
            <w:pPr>
              <w:pStyle w:val="ListParagraph"/>
              <w:numPr>
                <w:ilvl w:val="0"/>
                <w:numId w:val="28"/>
              </w:numPr>
            </w:pPr>
            <w:r>
              <w:t>100% of Year 12 students to undertake 5 or 10 days of work experience in June 2022</w:t>
            </w:r>
          </w:p>
          <w:p w14:paraId="394E40C5" w14:textId="77777777" w:rsidR="00501E1D" w:rsidRDefault="00501E1D" w:rsidP="00501E1D">
            <w:pPr>
              <w:pStyle w:val="ListParagraph"/>
              <w:numPr>
                <w:ilvl w:val="0"/>
                <w:numId w:val="28"/>
              </w:numPr>
            </w:pPr>
            <w:r>
              <w:t xml:space="preserve">Aim for 100% of Year 10 students to undertake 5 days of work experience in July 2024. </w:t>
            </w:r>
          </w:p>
          <w:p w14:paraId="079E5E32" w14:textId="224B4D27" w:rsidR="00501E1D" w:rsidRDefault="00501E1D" w:rsidP="00501E1D">
            <w:pPr>
              <w:pStyle w:val="ListParagraph"/>
              <w:numPr>
                <w:ilvl w:val="0"/>
                <w:numId w:val="28"/>
              </w:numPr>
            </w:pPr>
            <w:r>
              <w:t>KS4 students as appropriate to have access to vocational courses as part of their personalised curriculum. For Example, Pitstop (car mechanics) and BCA (Agriculture, mechanics and animal care)</w:t>
            </w:r>
          </w:p>
        </w:tc>
      </w:tr>
      <w:tr w:rsidR="00A01D6B" w14:paraId="62904631" w14:textId="61905D2F" w:rsidTr="00A01D6B">
        <w:trPr>
          <w:jc w:val="center"/>
        </w:trPr>
        <w:tc>
          <w:tcPr>
            <w:tcW w:w="2653" w:type="dxa"/>
            <w:shd w:val="clear" w:color="auto" w:fill="D9D9D9" w:themeFill="background1" w:themeFillShade="D9"/>
            <w:vAlign w:val="center"/>
          </w:tcPr>
          <w:p w14:paraId="62CEB857" w14:textId="77777777" w:rsidR="00A01D6B" w:rsidRPr="0032316C" w:rsidRDefault="00A01D6B" w:rsidP="00670E40">
            <w:pPr>
              <w:jc w:val="center"/>
              <w:rPr>
                <w:b/>
                <w:bCs/>
              </w:rPr>
            </w:pPr>
            <w:r w:rsidRPr="0032316C">
              <w:rPr>
                <w:b/>
                <w:bCs/>
              </w:rPr>
              <w:t>7. Encounters with further and higher education</w:t>
            </w:r>
          </w:p>
          <w:p w14:paraId="2F82D90B" w14:textId="77777777" w:rsidR="00A01D6B" w:rsidRPr="0032316C" w:rsidRDefault="00A01D6B" w:rsidP="00670E40">
            <w:pPr>
              <w:jc w:val="center"/>
              <w:rPr>
                <w:b/>
                <w:bCs/>
              </w:rPr>
            </w:pPr>
          </w:p>
        </w:tc>
        <w:tc>
          <w:tcPr>
            <w:tcW w:w="4898" w:type="dxa"/>
          </w:tcPr>
          <w:p w14:paraId="49CD4300" w14:textId="77777777" w:rsidR="00A01D6B" w:rsidRDefault="00A01D6B" w:rsidP="00670E40">
            <w:r>
              <w:t>All pupils should understand the full range of learning opportunities that are available to them. This includes both academic and vocational routes and learning in schools, colleges, universities and in the workplace.</w:t>
            </w:r>
          </w:p>
        </w:tc>
        <w:tc>
          <w:tcPr>
            <w:tcW w:w="7009" w:type="dxa"/>
          </w:tcPr>
          <w:p w14:paraId="7B319D56" w14:textId="75920E86" w:rsidR="00A01D6B" w:rsidRDefault="005B6419" w:rsidP="005B6419">
            <w:pPr>
              <w:pStyle w:val="ListParagraph"/>
              <w:numPr>
                <w:ilvl w:val="0"/>
                <w:numId w:val="29"/>
              </w:numPr>
            </w:pPr>
            <w:r>
              <w:t>All Year 12 students to attend university visit days in Spring 2023.</w:t>
            </w:r>
          </w:p>
          <w:p w14:paraId="7F4433A5" w14:textId="02A6B43B" w:rsidR="005B6419" w:rsidRDefault="005B6419" w:rsidP="005B6419">
            <w:pPr>
              <w:pStyle w:val="ListParagraph"/>
              <w:numPr>
                <w:ilvl w:val="0"/>
                <w:numId w:val="29"/>
              </w:numPr>
            </w:pPr>
            <w:r>
              <w:t xml:space="preserve">Oxbridge students supported by </w:t>
            </w:r>
            <w:hyperlink r:id="rId11" w:history="1">
              <w:r>
                <w:rPr>
                  <w:rStyle w:val="Hyperlink"/>
                </w:rPr>
                <w:t>The Piggott School - Super Curriculum</w:t>
              </w:r>
            </w:hyperlink>
          </w:p>
          <w:p w14:paraId="19D48990" w14:textId="77777777" w:rsidR="005B6419" w:rsidRDefault="005B6419" w:rsidP="005B6419">
            <w:pPr>
              <w:pStyle w:val="ListParagraph"/>
              <w:numPr>
                <w:ilvl w:val="0"/>
                <w:numId w:val="29"/>
              </w:numPr>
            </w:pPr>
            <w:r>
              <w:t>Year 10 and 12 Activities Days have a range of speakers from all employment areas.</w:t>
            </w:r>
          </w:p>
          <w:p w14:paraId="1A543AA8" w14:textId="77777777" w:rsidR="005B6419" w:rsidRDefault="005B6419" w:rsidP="005B6419">
            <w:pPr>
              <w:pStyle w:val="ListParagraph"/>
              <w:numPr>
                <w:ilvl w:val="0"/>
                <w:numId w:val="29"/>
              </w:numPr>
            </w:pPr>
            <w:r>
              <w:t>KS4 students as appropriate to have access to vocational courses as part of their personalised curriculum. For Example, Pitstop (car mechanics) and BCA (Agriculture, mechanics and animal care)</w:t>
            </w:r>
          </w:p>
          <w:p w14:paraId="2585F0AB" w14:textId="77777777" w:rsidR="005B6419" w:rsidRDefault="005B6419" w:rsidP="005B6419">
            <w:pPr>
              <w:pStyle w:val="ListParagraph"/>
              <w:numPr>
                <w:ilvl w:val="0"/>
                <w:numId w:val="29"/>
              </w:numPr>
            </w:pPr>
            <w:r>
              <w:t>All Year groups take part in National Apprenticeship Week activities.</w:t>
            </w:r>
          </w:p>
          <w:p w14:paraId="7A53B6AD" w14:textId="136BB185" w:rsidR="005B6419" w:rsidRDefault="005B6419" w:rsidP="005B6419"/>
        </w:tc>
      </w:tr>
      <w:tr w:rsidR="00A01D6B" w14:paraId="2B227364" w14:textId="78940C8C" w:rsidTr="00A01D6B">
        <w:trPr>
          <w:jc w:val="center"/>
        </w:trPr>
        <w:tc>
          <w:tcPr>
            <w:tcW w:w="2653" w:type="dxa"/>
            <w:shd w:val="clear" w:color="auto" w:fill="D9D9D9" w:themeFill="background1" w:themeFillShade="D9"/>
            <w:vAlign w:val="center"/>
          </w:tcPr>
          <w:p w14:paraId="53E1B4EB" w14:textId="77777777" w:rsidR="00A01D6B" w:rsidRPr="0032316C" w:rsidRDefault="00A01D6B" w:rsidP="00670E40">
            <w:pPr>
              <w:jc w:val="center"/>
              <w:rPr>
                <w:b/>
                <w:bCs/>
              </w:rPr>
            </w:pPr>
            <w:r w:rsidRPr="0032316C">
              <w:rPr>
                <w:b/>
                <w:bCs/>
              </w:rPr>
              <w:lastRenderedPageBreak/>
              <w:t>8. Personal guidance</w:t>
            </w:r>
          </w:p>
          <w:p w14:paraId="14E68386" w14:textId="77777777" w:rsidR="00A01D6B" w:rsidRPr="0032316C" w:rsidRDefault="00A01D6B" w:rsidP="00670E40">
            <w:pPr>
              <w:jc w:val="center"/>
              <w:rPr>
                <w:b/>
                <w:bCs/>
              </w:rPr>
            </w:pPr>
          </w:p>
        </w:tc>
        <w:tc>
          <w:tcPr>
            <w:tcW w:w="4898" w:type="dxa"/>
          </w:tcPr>
          <w:p w14:paraId="6A507196" w14:textId="77777777" w:rsidR="00A01D6B" w:rsidRDefault="00A01D6B" w:rsidP="00670E40">
            <w:r>
              <w:t xml:space="preserve">Every pupil should have opportunities for guidance interviews with a </w:t>
            </w:r>
            <w:proofErr w:type="gramStart"/>
            <w:r>
              <w:t>careers</w:t>
            </w:r>
            <w:proofErr w:type="gramEnd"/>
            <w:r>
              <w:t xml:space="preserve">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c>
          <w:tcPr>
            <w:tcW w:w="7009" w:type="dxa"/>
          </w:tcPr>
          <w:p w14:paraId="13B7BCCD" w14:textId="77777777" w:rsidR="00C76825" w:rsidRDefault="00C76825" w:rsidP="00C76825">
            <w:r>
              <w:t>Benchmark: 100%</w:t>
            </w:r>
          </w:p>
          <w:p w14:paraId="0AD2BD7F" w14:textId="77777777" w:rsidR="00C76825" w:rsidRPr="00B2526B" w:rsidRDefault="00C76825" w:rsidP="00C76825">
            <w:pPr>
              <w:pStyle w:val="ListParagraph"/>
              <w:numPr>
                <w:ilvl w:val="0"/>
                <w:numId w:val="18"/>
              </w:numPr>
            </w:pPr>
            <w:r w:rsidRPr="00B2526B">
              <w:t xml:space="preserve">Year 7 – </w:t>
            </w:r>
            <w:r>
              <w:t>Year group and class sessions</w:t>
            </w:r>
          </w:p>
          <w:p w14:paraId="51BC6D61" w14:textId="77777777" w:rsidR="00C76825" w:rsidRPr="00B2526B" w:rsidRDefault="00C76825" w:rsidP="00C76825">
            <w:pPr>
              <w:pStyle w:val="ListParagraph"/>
              <w:numPr>
                <w:ilvl w:val="0"/>
                <w:numId w:val="18"/>
              </w:numPr>
            </w:pPr>
            <w:r w:rsidRPr="00B2526B">
              <w:t>Year 8 – 100% coverage</w:t>
            </w:r>
            <w:r>
              <w:t xml:space="preserve">, all students have 1:1 advice linked to options process </w:t>
            </w:r>
          </w:p>
          <w:p w14:paraId="44BCFD93" w14:textId="77777777" w:rsidR="00C76825" w:rsidRPr="00B2526B" w:rsidRDefault="00C76825" w:rsidP="00C76825">
            <w:pPr>
              <w:pStyle w:val="ListParagraph"/>
              <w:numPr>
                <w:ilvl w:val="0"/>
                <w:numId w:val="18"/>
              </w:numPr>
            </w:pPr>
            <w:r w:rsidRPr="00B2526B">
              <w:t xml:space="preserve">Year 9 – </w:t>
            </w:r>
            <w:r>
              <w:t>Year group and class sessions</w:t>
            </w:r>
          </w:p>
          <w:p w14:paraId="2158DA5A" w14:textId="77777777" w:rsidR="00C76825" w:rsidRPr="00B2526B" w:rsidRDefault="00C76825" w:rsidP="00C76825">
            <w:pPr>
              <w:pStyle w:val="ListParagraph"/>
              <w:numPr>
                <w:ilvl w:val="0"/>
                <w:numId w:val="18"/>
              </w:numPr>
            </w:pPr>
            <w:r w:rsidRPr="00B2526B">
              <w:t xml:space="preserve">Year 10 – </w:t>
            </w:r>
            <w:proofErr w:type="spellStart"/>
            <w:r w:rsidRPr="00B2526B">
              <w:t>Adviza</w:t>
            </w:r>
            <w:proofErr w:type="spellEnd"/>
            <w:r w:rsidRPr="00B2526B">
              <w:t xml:space="preserve"> work</w:t>
            </w:r>
            <w:r>
              <w:t xml:space="preserve"> 1:1</w:t>
            </w:r>
            <w:r w:rsidRPr="00B2526B">
              <w:t xml:space="preserve"> with the highest priority</w:t>
            </w:r>
            <w:r>
              <w:t xml:space="preserve">. Activities Day linked to careers and post 16 options. </w:t>
            </w:r>
          </w:p>
          <w:p w14:paraId="68BD8263" w14:textId="77777777" w:rsidR="00C76825" w:rsidRPr="00B2526B" w:rsidRDefault="00C76825" w:rsidP="00C76825">
            <w:pPr>
              <w:pStyle w:val="ListParagraph"/>
              <w:numPr>
                <w:ilvl w:val="0"/>
                <w:numId w:val="18"/>
              </w:numPr>
            </w:pPr>
            <w:r w:rsidRPr="00B2526B">
              <w:t xml:space="preserve">Year 11 – </w:t>
            </w:r>
            <w:r>
              <w:t xml:space="preserve">100% of students seen by </w:t>
            </w:r>
            <w:proofErr w:type="spellStart"/>
            <w:r>
              <w:t>Adviza</w:t>
            </w:r>
            <w:proofErr w:type="spellEnd"/>
            <w:r>
              <w:t xml:space="preserve"> in 1:1 </w:t>
            </w:r>
            <w:proofErr w:type="gramStart"/>
            <w:r>
              <w:t>sessions</w:t>
            </w:r>
            <w:proofErr w:type="gramEnd"/>
            <w:r>
              <w:t>.</w:t>
            </w:r>
          </w:p>
          <w:p w14:paraId="49400C0C" w14:textId="77777777" w:rsidR="00C76825" w:rsidRPr="00B2526B" w:rsidRDefault="00C76825" w:rsidP="00C76825">
            <w:pPr>
              <w:pStyle w:val="ListParagraph"/>
              <w:numPr>
                <w:ilvl w:val="0"/>
                <w:numId w:val="18"/>
              </w:numPr>
            </w:pPr>
            <w:r w:rsidRPr="00B2526B">
              <w:t xml:space="preserve">Year 12 – </w:t>
            </w:r>
            <w:r>
              <w:t xml:space="preserve">100% of students seen by </w:t>
            </w:r>
            <w:proofErr w:type="spellStart"/>
            <w:r>
              <w:t>Adviza</w:t>
            </w:r>
            <w:proofErr w:type="spellEnd"/>
            <w:r>
              <w:t xml:space="preserve"> in 1:1 </w:t>
            </w:r>
            <w:proofErr w:type="gramStart"/>
            <w:r>
              <w:t>sessions</w:t>
            </w:r>
            <w:proofErr w:type="gramEnd"/>
            <w:r>
              <w:t xml:space="preserve">. Activities Day linked to careers and post 18 options. </w:t>
            </w:r>
          </w:p>
          <w:p w14:paraId="391AFA68" w14:textId="77777777" w:rsidR="00C76825" w:rsidRDefault="00C76825" w:rsidP="00C76825">
            <w:pPr>
              <w:pStyle w:val="ListParagraph"/>
              <w:numPr>
                <w:ilvl w:val="0"/>
                <w:numId w:val="18"/>
              </w:numPr>
            </w:pPr>
            <w:r w:rsidRPr="00B2526B">
              <w:t xml:space="preserve">Year 13 – </w:t>
            </w:r>
            <w:r>
              <w:t xml:space="preserve">100% of students seen by </w:t>
            </w:r>
            <w:proofErr w:type="spellStart"/>
            <w:r>
              <w:t>Adviza</w:t>
            </w:r>
            <w:proofErr w:type="spellEnd"/>
            <w:r>
              <w:t xml:space="preserve"> in 1:1 </w:t>
            </w:r>
            <w:proofErr w:type="gramStart"/>
            <w:r>
              <w:t>sessions</w:t>
            </w:r>
            <w:proofErr w:type="gramEnd"/>
            <w:r>
              <w:t>.</w:t>
            </w:r>
          </w:p>
          <w:p w14:paraId="5B053DA6" w14:textId="77777777" w:rsidR="00C76825" w:rsidRPr="00B2526B" w:rsidRDefault="00C76825" w:rsidP="00C76825">
            <w:pPr>
              <w:pStyle w:val="ListParagraph"/>
              <w:numPr>
                <w:ilvl w:val="0"/>
                <w:numId w:val="18"/>
              </w:numPr>
            </w:pPr>
            <w:r>
              <w:t xml:space="preserve">Ensure vulnerable groups of students at all </w:t>
            </w:r>
            <w:proofErr w:type="spellStart"/>
            <w:r>
              <w:t>keystages</w:t>
            </w:r>
            <w:proofErr w:type="spellEnd"/>
            <w:r>
              <w:t xml:space="preserve"> have 1:1 support. Such as SEND, PP, LAC, PLAC.</w:t>
            </w:r>
          </w:p>
          <w:p w14:paraId="62B240E2" w14:textId="77777777" w:rsidR="00A01D6B" w:rsidRDefault="00A01D6B" w:rsidP="00670E40"/>
        </w:tc>
      </w:tr>
    </w:tbl>
    <w:p w14:paraId="63B18C62" w14:textId="77777777" w:rsidR="0018644A" w:rsidRDefault="0018644A" w:rsidP="0018644A">
      <w:pPr>
        <w:rPr>
          <w:b/>
          <w:bCs/>
          <w:color w:val="002060"/>
          <w:sz w:val="24"/>
          <w:szCs w:val="24"/>
        </w:rPr>
      </w:pPr>
    </w:p>
    <w:p w14:paraId="586DE57E" w14:textId="77777777" w:rsidR="0018644A" w:rsidRDefault="0018644A" w:rsidP="0018644A"/>
    <w:p w14:paraId="00EA1370" w14:textId="77777777" w:rsidR="007215AF" w:rsidRDefault="007215AF" w:rsidP="0018644A"/>
    <w:p w14:paraId="2852FFD6" w14:textId="132D8345" w:rsidR="00AE08BA" w:rsidRDefault="00AE08BA" w:rsidP="0018644A">
      <w:pPr>
        <w:rPr>
          <w:color w:val="FF0000"/>
        </w:rPr>
      </w:pPr>
    </w:p>
    <w:p w14:paraId="12B5027F" w14:textId="452D6CEC" w:rsidR="0046564C" w:rsidRDefault="0046564C" w:rsidP="0046564C">
      <w:pPr>
        <w:rPr>
          <w:color w:val="FF0000"/>
        </w:rPr>
      </w:pPr>
    </w:p>
    <w:p w14:paraId="5D4D3445" w14:textId="4FC1555C" w:rsidR="00880452" w:rsidRDefault="00880452" w:rsidP="0046564C">
      <w:pPr>
        <w:rPr>
          <w:b/>
          <w:bCs/>
        </w:rPr>
      </w:pPr>
    </w:p>
    <w:p w14:paraId="46F49951" w14:textId="30AA9A0F" w:rsidR="00E10026" w:rsidRDefault="00E10026" w:rsidP="0046564C">
      <w:pPr>
        <w:rPr>
          <w:b/>
          <w:bCs/>
        </w:rPr>
      </w:pPr>
    </w:p>
    <w:p w14:paraId="1BE4FEED" w14:textId="77777777" w:rsidR="00E10026" w:rsidRDefault="00E10026" w:rsidP="0046564C">
      <w:pPr>
        <w:rPr>
          <w:b/>
          <w:bCs/>
        </w:rPr>
      </w:pPr>
    </w:p>
    <w:p w14:paraId="6238E067" w14:textId="77777777" w:rsidR="0046564C" w:rsidRDefault="0046564C" w:rsidP="0046564C">
      <w:pPr>
        <w:pStyle w:val="NormalWeb"/>
        <w:shd w:val="clear" w:color="auto" w:fill="FFFFFF"/>
        <w:spacing w:before="0" w:beforeAutospacing="0" w:after="0" w:afterAutospacing="0"/>
        <w:rPr>
          <w:rFonts w:ascii="Calibri" w:hAnsi="Calibri" w:cs="Calibri"/>
          <w:color w:val="000000"/>
          <w:sz w:val="22"/>
          <w:szCs w:val="22"/>
        </w:rPr>
      </w:pPr>
    </w:p>
    <w:p w14:paraId="06938C1D" w14:textId="77777777" w:rsidR="00CC3BF3" w:rsidRDefault="00CC3BF3" w:rsidP="0046564C">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29E93987" w14:textId="77777777" w:rsidR="00B25402" w:rsidRDefault="00B25402">
      <w:r>
        <w:br w:type="page"/>
      </w:r>
    </w:p>
    <w:p w14:paraId="05C8ACD4" w14:textId="6E9C80A5" w:rsidR="002C4D1F" w:rsidRDefault="002C4D1F" w:rsidP="0018644A">
      <w:pPr>
        <w:rPr>
          <w:b/>
          <w:bCs/>
        </w:rPr>
      </w:pPr>
      <w:r w:rsidRPr="002C4D1F">
        <w:rPr>
          <w:b/>
          <w:bCs/>
        </w:rPr>
        <w:lastRenderedPageBreak/>
        <w:t xml:space="preserve">Careers and </w:t>
      </w:r>
      <w:r>
        <w:rPr>
          <w:b/>
          <w:bCs/>
        </w:rPr>
        <w:t>a</w:t>
      </w:r>
      <w:r w:rsidRPr="002C4D1F">
        <w:rPr>
          <w:b/>
          <w:bCs/>
        </w:rPr>
        <w:t xml:space="preserve"> studen</w:t>
      </w:r>
      <w:r>
        <w:rPr>
          <w:b/>
          <w:bCs/>
        </w:rPr>
        <w:t>t’s</w:t>
      </w:r>
      <w:r w:rsidRPr="002C4D1F">
        <w:rPr>
          <w:b/>
          <w:bCs/>
        </w:rPr>
        <w:t xml:space="preserve"> Piggo</w:t>
      </w:r>
      <w:r>
        <w:rPr>
          <w:b/>
          <w:bCs/>
        </w:rPr>
        <w:t>t</w:t>
      </w:r>
      <w:r w:rsidRPr="002C4D1F">
        <w:rPr>
          <w:b/>
          <w:bCs/>
        </w:rPr>
        <w:t>t School Journey</w:t>
      </w:r>
    </w:p>
    <w:p w14:paraId="7CCE768E" w14:textId="79B31063" w:rsidR="001231CD" w:rsidRDefault="002C4D1F" w:rsidP="009900F6">
      <w:r>
        <w:rPr>
          <w:noProof/>
        </w:rPr>
        <w:drawing>
          <wp:anchor distT="0" distB="0" distL="114300" distR="114300" simplePos="0" relativeHeight="251658240" behindDoc="0" locked="0" layoutInCell="1" allowOverlap="1" wp14:anchorId="76143774" wp14:editId="158D02E5">
            <wp:simplePos x="0" y="0"/>
            <wp:positionH relativeFrom="margin">
              <wp:posOffset>409575</wp:posOffset>
            </wp:positionH>
            <wp:positionV relativeFrom="margin">
              <wp:posOffset>459907</wp:posOffset>
            </wp:positionV>
            <wp:extent cx="5300345" cy="890333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l="7339" r="9045"/>
                    <a:stretch/>
                  </pic:blipFill>
                  <pic:spPr bwMode="auto">
                    <a:xfrm>
                      <a:off x="0" y="0"/>
                      <a:ext cx="5300345" cy="8903335"/>
                    </a:xfrm>
                    <a:prstGeom prst="rect">
                      <a:avLst/>
                    </a:prstGeom>
                    <a:ln>
                      <a:noFill/>
                    </a:ln>
                    <a:extLst>
                      <a:ext uri="{53640926-AAD7-44D8-BBD7-CCE9431645EC}">
                        <a14:shadowObscured xmlns:a14="http://schemas.microsoft.com/office/drawing/2010/main"/>
                      </a:ext>
                    </a:extLst>
                  </pic:spPr>
                </pic:pic>
              </a:graphicData>
            </a:graphic>
          </wp:anchor>
        </w:drawing>
      </w:r>
    </w:p>
    <w:sectPr w:rsidR="001231CD" w:rsidSect="00A01D6B">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A4B1" w14:textId="77777777" w:rsidR="00005FA5" w:rsidRDefault="00005FA5" w:rsidP="00CA264C">
      <w:r>
        <w:separator/>
      </w:r>
    </w:p>
  </w:endnote>
  <w:endnote w:type="continuationSeparator" w:id="0">
    <w:p w14:paraId="0F377B58" w14:textId="77777777" w:rsidR="00005FA5" w:rsidRDefault="00005FA5"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BD2" w14:textId="77777777" w:rsidR="00005FA5" w:rsidRDefault="00005FA5" w:rsidP="00CA264C">
      <w:r>
        <w:separator/>
      </w:r>
    </w:p>
  </w:footnote>
  <w:footnote w:type="continuationSeparator" w:id="0">
    <w:p w14:paraId="647453FB" w14:textId="77777777" w:rsidR="00005FA5" w:rsidRDefault="00005FA5" w:rsidP="00CA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hybridMultilevel"/>
    <w:tmpl w:val="235BA86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60732E"/>
    <w:multiLevelType w:val="hybridMultilevel"/>
    <w:tmpl w:val="01F0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825"/>
    <w:multiLevelType w:val="hybridMultilevel"/>
    <w:tmpl w:val="D496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45E31"/>
    <w:multiLevelType w:val="hybridMultilevel"/>
    <w:tmpl w:val="8D5A2EF0"/>
    <w:lvl w:ilvl="0" w:tplc="FFFFFFFF">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5300B"/>
    <w:multiLevelType w:val="hybridMultilevel"/>
    <w:tmpl w:val="69124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2806AC"/>
    <w:multiLevelType w:val="hybridMultilevel"/>
    <w:tmpl w:val="4BBA8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A13335"/>
    <w:multiLevelType w:val="hybridMultilevel"/>
    <w:tmpl w:val="770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74FD8"/>
    <w:multiLevelType w:val="hybridMultilevel"/>
    <w:tmpl w:val="CAB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C3C99"/>
    <w:multiLevelType w:val="hybridMultilevel"/>
    <w:tmpl w:val="D3DC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B74CE"/>
    <w:multiLevelType w:val="hybridMultilevel"/>
    <w:tmpl w:val="9F9A61D8"/>
    <w:lvl w:ilvl="0" w:tplc="FFFFFFFF">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A0347"/>
    <w:multiLevelType w:val="hybridMultilevel"/>
    <w:tmpl w:val="BFBE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F4ECD"/>
    <w:multiLevelType w:val="hybridMultilevel"/>
    <w:tmpl w:val="8340D65E"/>
    <w:lvl w:ilvl="0" w:tplc="AEC0A7A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2C215C"/>
    <w:multiLevelType w:val="hybridMultilevel"/>
    <w:tmpl w:val="F03E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35638"/>
    <w:multiLevelType w:val="hybridMultilevel"/>
    <w:tmpl w:val="D01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F27F5"/>
    <w:multiLevelType w:val="hybridMultilevel"/>
    <w:tmpl w:val="349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A054D"/>
    <w:multiLevelType w:val="hybridMultilevel"/>
    <w:tmpl w:val="6912422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6503D96"/>
    <w:multiLevelType w:val="hybridMultilevel"/>
    <w:tmpl w:val="A3766040"/>
    <w:lvl w:ilvl="0" w:tplc="89A643A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E25"/>
    <w:multiLevelType w:val="hybridMultilevel"/>
    <w:tmpl w:val="2996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51552"/>
    <w:multiLevelType w:val="hybridMultilevel"/>
    <w:tmpl w:val="23FE4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765E8"/>
    <w:multiLevelType w:val="hybridMultilevel"/>
    <w:tmpl w:val="B2A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E56F5"/>
    <w:multiLevelType w:val="hybridMultilevel"/>
    <w:tmpl w:val="72C8DD3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CC4DE3"/>
    <w:multiLevelType w:val="hybridMultilevel"/>
    <w:tmpl w:val="9F0C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60747"/>
    <w:multiLevelType w:val="hybridMultilevel"/>
    <w:tmpl w:val="C8F0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71FC5"/>
    <w:multiLevelType w:val="hybridMultilevel"/>
    <w:tmpl w:val="01A4720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D5869"/>
    <w:multiLevelType w:val="hybridMultilevel"/>
    <w:tmpl w:val="FAE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F0201"/>
    <w:multiLevelType w:val="hybridMultilevel"/>
    <w:tmpl w:val="272A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232E"/>
    <w:multiLevelType w:val="hybridMultilevel"/>
    <w:tmpl w:val="CB4E0B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ED113E"/>
    <w:multiLevelType w:val="hybridMultilevel"/>
    <w:tmpl w:val="58E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12AEE"/>
    <w:multiLevelType w:val="hybridMultilevel"/>
    <w:tmpl w:val="6912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9"/>
  </w:num>
  <w:num w:numId="4">
    <w:abstractNumId w:val="23"/>
  </w:num>
  <w:num w:numId="5">
    <w:abstractNumId w:val="3"/>
  </w:num>
  <w:num w:numId="6">
    <w:abstractNumId w:val="24"/>
  </w:num>
  <w:num w:numId="7">
    <w:abstractNumId w:val="18"/>
  </w:num>
  <w:num w:numId="8">
    <w:abstractNumId w:val="6"/>
  </w:num>
  <w:num w:numId="9">
    <w:abstractNumId w:val="22"/>
  </w:num>
  <w:num w:numId="10">
    <w:abstractNumId w:val="11"/>
  </w:num>
  <w:num w:numId="11">
    <w:abstractNumId w:val="16"/>
  </w:num>
  <w:num w:numId="12">
    <w:abstractNumId w:val="0"/>
  </w:num>
  <w:num w:numId="13">
    <w:abstractNumId w:val="13"/>
  </w:num>
  <w:num w:numId="14">
    <w:abstractNumId w:val="28"/>
  </w:num>
  <w:num w:numId="15">
    <w:abstractNumId w:val="5"/>
  </w:num>
  <w:num w:numId="16">
    <w:abstractNumId w:val="8"/>
  </w:num>
  <w:num w:numId="17">
    <w:abstractNumId w:val="4"/>
  </w:num>
  <w:num w:numId="18">
    <w:abstractNumId w:val="14"/>
  </w:num>
  <w:num w:numId="19">
    <w:abstractNumId w:val="15"/>
  </w:num>
  <w:num w:numId="20">
    <w:abstractNumId w:val="27"/>
  </w:num>
  <w:num w:numId="21">
    <w:abstractNumId w:val="10"/>
  </w:num>
  <w:num w:numId="22">
    <w:abstractNumId w:val="19"/>
  </w:num>
  <w:num w:numId="23">
    <w:abstractNumId w:val="2"/>
  </w:num>
  <w:num w:numId="24">
    <w:abstractNumId w:val="21"/>
  </w:num>
  <w:num w:numId="25">
    <w:abstractNumId w:val="17"/>
  </w:num>
  <w:num w:numId="26">
    <w:abstractNumId w:val="12"/>
  </w:num>
  <w:num w:numId="27">
    <w:abstractNumId w:val="7"/>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59"/>
    <w:rsid w:val="00001F51"/>
    <w:rsid w:val="000047E1"/>
    <w:rsid w:val="000049B9"/>
    <w:rsid w:val="00005FA5"/>
    <w:rsid w:val="00027694"/>
    <w:rsid w:val="00036423"/>
    <w:rsid w:val="000642F7"/>
    <w:rsid w:val="0006774E"/>
    <w:rsid w:val="000B7F71"/>
    <w:rsid w:val="001173AE"/>
    <w:rsid w:val="001231CD"/>
    <w:rsid w:val="00130001"/>
    <w:rsid w:val="00136CD8"/>
    <w:rsid w:val="001370DB"/>
    <w:rsid w:val="00141548"/>
    <w:rsid w:val="00174684"/>
    <w:rsid w:val="001762CC"/>
    <w:rsid w:val="00180A20"/>
    <w:rsid w:val="0018644A"/>
    <w:rsid w:val="001960B6"/>
    <w:rsid w:val="001B7B2D"/>
    <w:rsid w:val="001C09A1"/>
    <w:rsid w:val="001D6140"/>
    <w:rsid w:val="0020339E"/>
    <w:rsid w:val="00216A59"/>
    <w:rsid w:val="002258B1"/>
    <w:rsid w:val="00256EA5"/>
    <w:rsid w:val="002709CD"/>
    <w:rsid w:val="00273E8F"/>
    <w:rsid w:val="00297A73"/>
    <w:rsid w:val="002A396C"/>
    <w:rsid w:val="002B674F"/>
    <w:rsid w:val="002C4D1F"/>
    <w:rsid w:val="002D4D55"/>
    <w:rsid w:val="002D7633"/>
    <w:rsid w:val="002E1EA6"/>
    <w:rsid w:val="002E6550"/>
    <w:rsid w:val="002E677A"/>
    <w:rsid w:val="002F610B"/>
    <w:rsid w:val="00306FC8"/>
    <w:rsid w:val="0032316C"/>
    <w:rsid w:val="00326610"/>
    <w:rsid w:val="0033720A"/>
    <w:rsid w:val="00347D2A"/>
    <w:rsid w:val="00352E0F"/>
    <w:rsid w:val="00365EE1"/>
    <w:rsid w:val="00380062"/>
    <w:rsid w:val="003835DD"/>
    <w:rsid w:val="003C41E8"/>
    <w:rsid w:val="003C611B"/>
    <w:rsid w:val="003C6FE7"/>
    <w:rsid w:val="0040161E"/>
    <w:rsid w:val="00406F04"/>
    <w:rsid w:val="004141F9"/>
    <w:rsid w:val="004252A5"/>
    <w:rsid w:val="00432DDD"/>
    <w:rsid w:val="0044207F"/>
    <w:rsid w:val="004467A8"/>
    <w:rsid w:val="00461BE2"/>
    <w:rsid w:val="0046509D"/>
    <w:rsid w:val="0046564C"/>
    <w:rsid w:val="00473D07"/>
    <w:rsid w:val="00480410"/>
    <w:rsid w:val="0048192C"/>
    <w:rsid w:val="00491BFA"/>
    <w:rsid w:val="00495418"/>
    <w:rsid w:val="0049685C"/>
    <w:rsid w:val="00497923"/>
    <w:rsid w:val="004A1C79"/>
    <w:rsid w:val="004B5555"/>
    <w:rsid w:val="004C3481"/>
    <w:rsid w:val="004C51C8"/>
    <w:rsid w:val="004D24AC"/>
    <w:rsid w:val="00501E1D"/>
    <w:rsid w:val="00502F15"/>
    <w:rsid w:val="00520278"/>
    <w:rsid w:val="00534F59"/>
    <w:rsid w:val="00536559"/>
    <w:rsid w:val="005374EF"/>
    <w:rsid w:val="00546058"/>
    <w:rsid w:val="00571ABE"/>
    <w:rsid w:val="0057249F"/>
    <w:rsid w:val="0059032A"/>
    <w:rsid w:val="0059130D"/>
    <w:rsid w:val="00597BFF"/>
    <w:rsid w:val="005A46EC"/>
    <w:rsid w:val="005B33BD"/>
    <w:rsid w:val="005B6419"/>
    <w:rsid w:val="005C6A8F"/>
    <w:rsid w:val="005D5259"/>
    <w:rsid w:val="005F3089"/>
    <w:rsid w:val="005F3768"/>
    <w:rsid w:val="005F4ADD"/>
    <w:rsid w:val="0060504D"/>
    <w:rsid w:val="00611003"/>
    <w:rsid w:val="00622B06"/>
    <w:rsid w:val="006242FA"/>
    <w:rsid w:val="006712B5"/>
    <w:rsid w:val="0067579D"/>
    <w:rsid w:val="006944BE"/>
    <w:rsid w:val="006A377C"/>
    <w:rsid w:val="006A3F50"/>
    <w:rsid w:val="006B2E08"/>
    <w:rsid w:val="006D20B9"/>
    <w:rsid w:val="006D43AA"/>
    <w:rsid w:val="007215AF"/>
    <w:rsid w:val="00734520"/>
    <w:rsid w:val="0076665E"/>
    <w:rsid w:val="00792AFF"/>
    <w:rsid w:val="007A0FF6"/>
    <w:rsid w:val="007A5DBF"/>
    <w:rsid w:val="007E183D"/>
    <w:rsid w:val="007E4377"/>
    <w:rsid w:val="007E53E2"/>
    <w:rsid w:val="007F6543"/>
    <w:rsid w:val="008137CA"/>
    <w:rsid w:val="00824F6A"/>
    <w:rsid w:val="00830D35"/>
    <w:rsid w:val="008416AC"/>
    <w:rsid w:val="00847F80"/>
    <w:rsid w:val="00864469"/>
    <w:rsid w:val="008652F3"/>
    <w:rsid w:val="0086630F"/>
    <w:rsid w:val="00876006"/>
    <w:rsid w:val="00877F9A"/>
    <w:rsid w:val="00880452"/>
    <w:rsid w:val="00881F90"/>
    <w:rsid w:val="008930C2"/>
    <w:rsid w:val="00895305"/>
    <w:rsid w:val="008B5B58"/>
    <w:rsid w:val="008D79C8"/>
    <w:rsid w:val="008E59BB"/>
    <w:rsid w:val="008F17FD"/>
    <w:rsid w:val="00921CBF"/>
    <w:rsid w:val="00922627"/>
    <w:rsid w:val="0092305D"/>
    <w:rsid w:val="00935B29"/>
    <w:rsid w:val="00935BDE"/>
    <w:rsid w:val="00941758"/>
    <w:rsid w:val="00954324"/>
    <w:rsid w:val="009609E0"/>
    <w:rsid w:val="009630A6"/>
    <w:rsid w:val="009735C6"/>
    <w:rsid w:val="009900F6"/>
    <w:rsid w:val="009944D4"/>
    <w:rsid w:val="009A3B9C"/>
    <w:rsid w:val="009D056B"/>
    <w:rsid w:val="009D087C"/>
    <w:rsid w:val="009F4D64"/>
    <w:rsid w:val="009F720D"/>
    <w:rsid w:val="00A01D6B"/>
    <w:rsid w:val="00A22371"/>
    <w:rsid w:val="00A610FF"/>
    <w:rsid w:val="00A75309"/>
    <w:rsid w:val="00A77C5C"/>
    <w:rsid w:val="00AA73A5"/>
    <w:rsid w:val="00AB0945"/>
    <w:rsid w:val="00AC7CDC"/>
    <w:rsid w:val="00AE08BA"/>
    <w:rsid w:val="00AF4D28"/>
    <w:rsid w:val="00AF5ACE"/>
    <w:rsid w:val="00B11074"/>
    <w:rsid w:val="00B14523"/>
    <w:rsid w:val="00B2526B"/>
    <w:rsid w:val="00B25402"/>
    <w:rsid w:val="00B3479C"/>
    <w:rsid w:val="00B45AFD"/>
    <w:rsid w:val="00B610FA"/>
    <w:rsid w:val="00B641B3"/>
    <w:rsid w:val="00B81D77"/>
    <w:rsid w:val="00B9072A"/>
    <w:rsid w:val="00BB4191"/>
    <w:rsid w:val="00BC0D49"/>
    <w:rsid w:val="00BC5CA5"/>
    <w:rsid w:val="00BD19BB"/>
    <w:rsid w:val="00BD2A75"/>
    <w:rsid w:val="00C04CCB"/>
    <w:rsid w:val="00C11BD0"/>
    <w:rsid w:val="00C139B5"/>
    <w:rsid w:val="00C20A3C"/>
    <w:rsid w:val="00C34462"/>
    <w:rsid w:val="00C400A2"/>
    <w:rsid w:val="00C417E4"/>
    <w:rsid w:val="00C6108B"/>
    <w:rsid w:val="00C640F1"/>
    <w:rsid w:val="00C76825"/>
    <w:rsid w:val="00C97777"/>
    <w:rsid w:val="00CA264C"/>
    <w:rsid w:val="00CB6CB7"/>
    <w:rsid w:val="00CC3BF3"/>
    <w:rsid w:val="00CD0F3E"/>
    <w:rsid w:val="00CD7F57"/>
    <w:rsid w:val="00CE68B8"/>
    <w:rsid w:val="00D16B41"/>
    <w:rsid w:val="00D36360"/>
    <w:rsid w:val="00D44039"/>
    <w:rsid w:val="00D5136D"/>
    <w:rsid w:val="00D55E5B"/>
    <w:rsid w:val="00D618C4"/>
    <w:rsid w:val="00D65118"/>
    <w:rsid w:val="00D76A0F"/>
    <w:rsid w:val="00D926B9"/>
    <w:rsid w:val="00DA1649"/>
    <w:rsid w:val="00DB454F"/>
    <w:rsid w:val="00DB51B5"/>
    <w:rsid w:val="00DB610E"/>
    <w:rsid w:val="00DE50DA"/>
    <w:rsid w:val="00DF28E4"/>
    <w:rsid w:val="00E02B32"/>
    <w:rsid w:val="00E10026"/>
    <w:rsid w:val="00E16F93"/>
    <w:rsid w:val="00E17BA3"/>
    <w:rsid w:val="00E2651B"/>
    <w:rsid w:val="00E62CBD"/>
    <w:rsid w:val="00E70196"/>
    <w:rsid w:val="00E7205D"/>
    <w:rsid w:val="00E81B8F"/>
    <w:rsid w:val="00E83ED6"/>
    <w:rsid w:val="00E85E07"/>
    <w:rsid w:val="00E931DB"/>
    <w:rsid w:val="00E96C53"/>
    <w:rsid w:val="00EB1885"/>
    <w:rsid w:val="00EB6790"/>
    <w:rsid w:val="00EC421E"/>
    <w:rsid w:val="00EC6AE2"/>
    <w:rsid w:val="00EE055A"/>
    <w:rsid w:val="00F00941"/>
    <w:rsid w:val="00F208E5"/>
    <w:rsid w:val="00F2222D"/>
    <w:rsid w:val="00F446BE"/>
    <w:rsid w:val="00F71DD1"/>
    <w:rsid w:val="00F85D21"/>
    <w:rsid w:val="00F86AF5"/>
    <w:rsid w:val="00F91EAB"/>
    <w:rsid w:val="00FA3538"/>
    <w:rsid w:val="00FA6E27"/>
    <w:rsid w:val="00FB0F5B"/>
    <w:rsid w:val="00FB4116"/>
    <w:rsid w:val="00FB5770"/>
    <w:rsid w:val="00FD2143"/>
    <w:rsid w:val="00FF2F01"/>
    <w:rsid w:val="00FF50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296A"/>
  <w15:chartTrackingRefBased/>
  <w15:docId w15:val="{B47F68AB-0B7C-DA4E-83D4-CC986842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4C"/>
    <w:pPr>
      <w:tabs>
        <w:tab w:val="center" w:pos="4513"/>
        <w:tab w:val="right" w:pos="9026"/>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513"/>
        <w:tab w:val="right" w:pos="9026"/>
      </w:tabs>
    </w:pPr>
  </w:style>
  <w:style w:type="character" w:customStyle="1" w:styleId="FooterChar">
    <w:name w:val="Footer Char"/>
    <w:basedOn w:val="DefaultParagraphFont"/>
    <w:link w:val="Footer"/>
    <w:uiPriority w:val="99"/>
    <w:rsid w:val="00CA264C"/>
  </w:style>
  <w:style w:type="table" w:styleId="TableGrid">
    <w:name w:val="Table Grid"/>
    <w:basedOn w:val="TableNormal"/>
    <w:uiPriority w:val="39"/>
    <w:rsid w:val="00DA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B2D"/>
    <w:pPr>
      <w:ind w:left="720"/>
      <w:contextualSpacing/>
    </w:pPr>
  </w:style>
  <w:style w:type="paragraph" w:styleId="NormalWeb">
    <w:name w:val="Normal (Web)"/>
    <w:basedOn w:val="Normal"/>
    <w:uiPriority w:val="99"/>
    <w:semiHidden/>
    <w:unhideWhenUsed/>
    <w:rsid w:val="00256E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EA5"/>
    <w:rPr>
      <w:color w:val="0000FF"/>
      <w:u w:val="single"/>
    </w:rPr>
  </w:style>
  <w:style w:type="character" w:styleId="UnresolvedMention">
    <w:name w:val="Unresolved Mention"/>
    <w:basedOn w:val="DefaultParagraphFont"/>
    <w:uiPriority w:val="99"/>
    <w:semiHidden/>
    <w:unhideWhenUsed/>
    <w:rsid w:val="00F2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7744">
      <w:bodyDiv w:val="1"/>
      <w:marLeft w:val="0"/>
      <w:marRight w:val="0"/>
      <w:marTop w:val="0"/>
      <w:marBottom w:val="0"/>
      <w:divBdr>
        <w:top w:val="none" w:sz="0" w:space="0" w:color="auto"/>
        <w:left w:val="none" w:sz="0" w:space="0" w:color="auto"/>
        <w:bottom w:val="none" w:sz="0" w:space="0" w:color="auto"/>
        <w:right w:val="none" w:sz="0" w:space="0" w:color="auto"/>
      </w:divBdr>
      <w:divsChild>
        <w:div w:id="1924609359">
          <w:marLeft w:val="0"/>
          <w:marRight w:val="0"/>
          <w:marTop w:val="0"/>
          <w:marBottom w:val="720"/>
          <w:divBdr>
            <w:top w:val="none" w:sz="0" w:space="0" w:color="auto"/>
            <w:left w:val="none" w:sz="0" w:space="0" w:color="auto"/>
            <w:bottom w:val="none" w:sz="0" w:space="0" w:color="auto"/>
            <w:right w:val="none" w:sz="0" w:space="0" w:color="auto"/>
          </w:divBdr>
        </w:div>
      </w:divsChild>
    </w:div>
    <w:div w:id="2062823728">
      <w:bodyDiv w:val="1"/>
      <w:marLeft w:val="0"/>
      <w:marRight w:val="0"/>
      <w:marTop w:val="0"/>
      <w:marBottom w:val="0"/>
      <w:divBdr>
        <w:top w:val="none" w:sz="0" w:space="0" w:color="auto"/>
        <w:left w:val="none" w:sz="0" w:space="0" w:color="auto"/>
        <w:bottom w:val="none" w:sz="0" w:space="0" w:color="auto"/>
        <w:right w:val="none" w:sz="0" w:space="0" w:color="auto"/>
      </w:divBdr>
    </w:div>
    <w:div w:id="2106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ggottschool.org/careersbulle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ggottschool.org/careers"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ggottschool.org/supercurriculum" TargetMode="External"/><Relationship Id="rId5" Type="http://schemas.openxmlformats.org/officeDocument/2006/relationships/footnotes" Target="footnotes.xml"/><Relationship Id="rId10" Type="http://schemas.openxmlformats.org/officeDocument/2006/relationships/hyperlink" Target="https://www.piggottschool.org/page/?title=Where+are+they+now%3F&amp;pid=258" TargetMode="External"/><Relationship Id="rId4" Type="http://schemas.openxmlformats.org/officeDocument/2006/relationships/webSettings" Target="webSettings.xml"/><Relationship Id="rId9" Type="http://schemas.openxmlformats.org/officeDocument/2006/relationships/hyperlink" Target="https://www.piggottschool.org/page/?title=Local+Labour+Market+Information&amp;pid=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Hughes</dc:creator>
  <cp:keywords/>
  <dc:description/>
  <cp:lastModifiedBy>David Bibby</cp:lastModifiedBy>
  <cp:revision>13</cp:revision>
  <dcterms:created xsi:type="dcterms:W3CDTF">2023-01-25T15:50:00Z</dcterms:created>
  <dcterms:modified xsi:type="dcterms:W3CDTF">2023-01-25T17:38:00Z</dcterms:modified>
</cp:coreProperties>
</file>